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EA08D" w14:textId="77777777" w:rsidR="00F95199" w:rsidRPr="00111858" w:rsidRDefault="00F95199" w:rsidP="00BC71BC">
      <w:pPr>
        <w:pStyle w:val="Coverpageannexnumber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/>
        </w:rPr>
        <w:t>ANEXO IX</w:t>
      </w:r>
    </w:p>
    <w:p w14:paraId="109BEA7F" w14:textId="77777777" w:rsidR="00F95199" w:rsidRPr="0026159D" w:rsidRDefault="00F95199" w:rsidP="0026159D">
      <w:pPr>
        <w:pStyle w:val="Coverpageannexreftitle"/>
        <w:rPr>
          <w:b/>
          <w:bCs/>
        </w:rPr>
      </w:pPr>
      <w:r>
        <w:rPr>
          <w:b/>
        </w:rPr>
        <w:t>REFERIDO NO ARTIGO 5.4</w:t>
      </w:r>
    </w:p>
    <w:p w14:paraId="696E8CA0" w14:textId="77777777" w:rsidR="00F95199" w:rsidRPr="0026159D" w:rsidRDefault="00F95199" w:rsidP="0026159D">
      <w:pPr>
        <w:pStyle w:val="Coverpageannexreftitle"/>
        <w:rPr>
          <w:b/>
          <w:bCs/>
        </w:rPr>
      </w:pPr>
      <w:r>
        <w:rPr>
          <w:b/>
        </w:rPr>
        <w:t>PRODUTOS ELÉTRICOS E ELETRÔNICOS</w:t>
      </w:r>
    </w:p>
    <w:p w14:paraId="0F5D8DDA" w14:textId="77777777" w:rsidR="00B07828" w:rsidRDefault="00F95199" w:rsidP="00F951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1E392827" w14:textId="77777777" w:rsidR="00B07828" w:rsidRPr="0008041A" w:rsidRDefault="00B07828" w:rsidP="00F951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s-ES"/>
        </w:rPr>
      </w:pPr>
    </w:p>
    <w:p w14:paraId="6E8CFE93" w14:textId="77777777" w:rsidR="00C154AF" w:rsidRPr="0008041A" w:rsidRDefault="00C154AF" w:rsidP="00F951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s-ES"/>
        </w:rPr>
        <w:sectPr w:rsidR="00C154AF" w:rsidRPr="0008041A" w:rsidSect="00947B8B">
          <w:headerReference w:type="default" r:id="rId10"/>
          <w:footerReference w:type="default" r:id="rId11"/>
          <w:pgSz w:w="11906" w:h="16838"/>
          <w:pgMar w:top="1418" w:right="1701" w:bottom="1418" w:left="1701" w:header="708" w:footer="708" w:gutter="0"/>
          <w:cols w:space="708"/>
          <w:docGrid w:linePitch="360"/>
        </w:sectPr>
      </w:pPr>
    </w:p>
    <w:p w14:paraId="28716806" w14:textId="77777777" w:rsidR="00F95199" w:rsidRPr="00EA0BC5" w:rsidRDefault="00F95199" w:rsidP="00EA0BC5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lastRenderedPageBreak/>
        <w:t>ANEXO IX</w:t>
      </w:r>
    </w:p>
    <w:p w14:paraId="072375C2" w14:textId="77777777" w:rsidR="00F95199" w:rsidRPr="00EA0BC5" w:rsidRDefault="00F95199" w:rsidP="00EA0BC5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5.4</w:t>
      </w:r>
    </w:p>
    <w:p w14:paraId="4018CD35" w14:textId="77777777" w:rsidR="00F95199" w:rsidRPr="00EA0BC5" w:rsidRDefault="00F95199" w:rsidP="00EA0BC5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PRODUTOS ELÉTRICOS E ELETRÔNICOS</w:t>
      </w:r>
    </w:p>
    <w:p w14:paraId="4AF4BB0E" w14:textId="6FBBCA68" w:rsidR="00F95199" w:rsidRPr="00BC5818" w:rsidRDefault="00F95199" w:rsidP="00BC5818">
      <w:pPr>
        <w:pStyle w:val="FTAarticlenumber"/>
        <w:rPr>
          <w:rFonts w:cs="Times New Roman"/>
          <w:szCs w:val="24"/>
        </w:rPr>
      </w:pPr>
      <w:bookmarkStart w:id="0" w:name="_Hlk18653402"/>
      <w:r>
        <w:t>Artigo 1</w:t>
      </w:r>
      <w:r w:rsidR="004F7C2C">
        <w:t>º</w:t>
      </w:r>
    </w:p>
    <w:bookmarkEnd w:id="0"/>
    <w:p w14:paraId="35BD0764" w14:textId="56745BB6" w:rsidR="00F95199" w:rsidRPr="00C465C1" w:rsidRDefault="0008041A" w:rsidP="006E22A0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Âmbito de Aplicação</w:t>
      </w:r>
    </w:p>
    <w:p w14:paraId="0BDD5F13" w14:textId="1CBAE9BA" w:rsidR="00F95199" w:rsidRPr="00C465C1" w:rsidRDefault="00F95199" w:rsidP="00844C35">
      <w:pPr>
        <w:pStyle w:val="Recuodecorpodetexto"/>
        <w:spacing w:after="0"/>
        <w:ind w:left="0" w:firstLine="720"/>
        <w:jc w:val="both"/>
      </w:pPr>
      <w:r>
        <w:t xml:space="preserve">O presente </w:t>
      </w:r>
      <w:r w:rsidR="002C64B0">
        <w:t>A</w:t>
      </w:r>
      <w:r>
        <w:t xml:space="preserve">nexo aplica-se aos procedimentos de avaliação da conformidade relacionados </w:t>
      </w:r>
      <w:r w:rsidR="002C64B0">
        <w:t xml:space="preserve">a </w:t>
      </w:r>
      <w:r>
        <w:t>regulamentos técnicos relativos a aspetos de segurança e compatibilidade eletromagnética de equipamentos elétricos e eletrônicos.</w:t>
      </w:r>
    </w:p>
    <w:p w14:paraId="01B4B5FD" w14:textId="5379C42D" w:rsidR="00F95199" w:rsidRPr="00BC5818" w:rsidRDefault="00F95199" w:rsidP="00BC5818">
      <w:pPr>
        <w:pStyle w:val="FTAarticlenumber"/>
        <w:rPr>
          <w:rFonts w:cs="Times New Roman"/>
          <w:szCs w:val="24"/>
        </w:rPr>
      </w:pPr>
      <w:r>
        <w:t>Artigo 2</w:t>
      </w:r>
      <w:r w:rsidR="004F7C2C">
        <w:t>º</w:t>
      </w:r>
    </w:p>
    <w:p w14:paraId="4844D0B0" w14:textId="77777777" w:rsidR="00F95199" w:rsidRPr="00C465C1" w:rsidRDefault="00F95199" w:rsidP="006E22A0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Definições</w:t>
      </w:r>
    </w:p>
    <w:p w14:paraId="04BCA0DF" w14:textId="6A66817E" w:rsidR="00F95199" w:rsidRPr="0084431D" w:rsidRDefault="00F95199" w:rsidP="0084431D">
      <w:pPr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Para efeitos do presente </w:t>
      </w:r>
      <w:r w:rsidR="002C64B0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nexo, entende-se por </w:t>
      </w:r>
      <w:r w:rsidR="002C64B0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aspectos de segurança dos equipamentos elétricos e eletrônicos</w:t>
      </w:r>
      <w:r w:rsidR="002C64B0">
        <w:rPr>
          <w:rFonts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 xml:space="preserve"> os aspectos de segurança dos equipamentos que dependem de correntes elétricas para funcionar corretamente e dos equipamentos destinados à geração, transferência e medição dessas correntes, concebidos para serem utilizados com uma tensão nominal compreendida entre 50 e 1000 volts para corrente alternada e entre 75 e 1500 volts para corrente contínua, com exceção de:</w:t>
      </w:r>
    </w:p>
    <w:p w14:paraId="304B7387" w14:textId="7982B0A9" w:rsidR="00F95199" w:rsidRPr="00C465C1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 xml:space="preserve">equipamento para </w:t>
      </w:r>
      <w:r w:rsidR="00AF5DC9">
        <w:t xml:space="preserve">uso </w:t>
      </w:r>
      <w:r>
        <w:t>em atmosferas explosivas;</w:t>
      </w:r>
    </w:p>
    <w:p w14:paraId="4A078D84" w14:textId="77777777" w:rsidR="00F95199" w:rsidRPr="00C465C1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 xml:space="preserve">equipamentos para uso em radiologia ou </w:t>
      </w:r>
      <w:r w:rsidR="00AF5DC9">
        <w:t xml:space="preserve">para </w:t>
      </w:r>
      <w:r>
        <w:t xml:space="preserve">fins médicos; </w:t>
      </w:r>
    </w:p>
    <w:p w14:paraId="354B5FE6" w14:textId="31B8EC64" w:rsidR="00F95199" w:rsidRPr="00C465C1" w:rsidRDefault="00AF5DC9" w:rsidP="00900D5B">
      <w:pPr>
        <w:pStyle w:val="FTAlisttext"/>
        <w:numPr>
          <w:ilvl w:val="0"/>
          <w:numId w:val="3"/>
        </w:numPr>
        <w:ind w:left="1418" w:hanging="709"/>
      </w:pPr>
      <w:proofErr w:type="gramStart"/>
      <w:r>
        <w:t>componentes</w:t>
      </w:r>
      <w:proofErr w:type="gramEnd"/>
      <w:r>
        <w:t xml:space="preserve"> elétricos</w:t>
      </w:r>
      <w:r w:rsidR="00F95199">
        <w:t xml:space="preserve"> para elevadores de </w:t>
      </w:r>
      <w:r w:rsidR="00990222">
        <w:t>carga</w:t>
      </w:r>
      <w:r w:rsidR="002C64B0">
        <w:t xml:space="preserve"> </w:t>
      </w:r>
      <w:r w:rsidR="00F95199">
        <w:t xml:space="preserve">e </w:t>
      </w:r>
      <w:r>
        <w:t>de</w:t>
      </w:r>
      <w:r w:rsidR="00F95199">
        <w:t xml:space="preserve"> passageiros;</w:t>
      </w:r>
    </w:p>
    <w:p w14:paraId="6032B1E5" w14:textId="77777777" w:rsidR="00F95199" w:rsidRPr="00C465C1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>equipamentos de telecomunicações;</w:t>
      </w:r>
    </w:p>
    <w:p w14:paraId="0298F3B7" w14:textId="77777777" w:rsidR="00F95199" w:rsidRPr="00C465C1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>medidores de eletricidade;</w:t>
      </w:r>
    </w:p>
    <w:p w14:paraId="301BD3D6" w14:textId="2121A8DF" w:rsidR="00F95199" w:rsidRPr="00C465C1" w:rsidRDefault="00AF5DC9" w:rsidP="00900D5B">
      <w:pPr>
        <w:pStyle w:val="FTAlisttext"/>
        <w:numPr>
          <w:ilvl w:val="0"/>
          <w:numId w:val="3"/>
        </w:numPr>
        <w:ind w:left="1418" w:hanging="709"/>
      </w:pPr>
      <w:r>
        <w:t xml:space="preserve">plugues e </w:t>
      </w:r>
      <w:r w:rsidR="00F95199">
        <w:t>tomadas para uso doméstico;</w:t>
      </w:r>
    </w:p>
    <w:p w14:paraId="5E810324" w14:textId="0C21C909" w:rsidR="00F95199" w:rsidRPr="00C465C1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>controladores de cerca elétrica;</w:t>
      </w:r>
    </w:p>
    <w:p w14:paraId="592D2003" w14:textId="77777777" w:rsidR="00F95199" w:rsidRPr="00900D5B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>brinquedos;</w:t>
      </w:r>
    </w:p>
    <w:p w14:paraId="1DCB5317" w14:textId="765BE282" w:rsidR="00F95199" w:rsidRPr="00900D5B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 xml:space="preserve">equipamentos especializados para </w:t>
      </w:r>
      <w:r w:rsidR="008E1817">
        <w:t>os setores</w:t>
      </w:r>
      <w:r>
        <w:t xml:space="preserve"> marítimo, ferroviário, aéreo e </w:t>
      </w:r>
      <w:r w:rsidR="008E1817">
        <w:t>para veículos</w:t>
      </w:r>
      <w:r>
        <w:t>;</w:t>
      </w:r>
    </w:p>
    <w:p w14:paraId="480B0428" w14:textId="6A0995F7" w:rsidR="00F95199" w:rsidRPr="00C465C1" w:rsidRDefault="00E32FC2" w:rsidP="00900D5B">
      <w:pPr>
        <w:pStyle w:val="FTAlisttext"/>
        <w:numPr>
          <w:ilvl w:val="0"/>
          <w:numId w:val="3"/>
        </w:numPr>
        <w:ind w:left="1418" w:hanging="709"/>
      </w:pPr>
      <w:r>
        <w:t xml:space="preserve">conjuntos </w:t>
      </w:r>
      <w:r w:rsidR="00F95199">
        <w:t xml:space="preserve">de avaliação </w:t>
      </w:r>
      <w:r>
        <w:t>fabricados sob medida</w:t>
      </w:r>
      <w:r w:rsidR="00F95199">
        <w:t xml:space="preserve"> destinados a profissionais para </w:t>
      </w:r>
      <w:r>
        <w:t xml:space="preserve">uso exclusivo </w:t>
      </w:r>
      <w:r w:rsidR="00F95199">
        <w:t>em instalações de pesquisa e desenvolvimento para tais fins; e</w:t>
      </w:r>
    </w:p>
    <w:p w14:paraId="6BEB46B0" w14:textId="10F7CE4D" w:rsidR="00F95199" w:rsidRPr="00900D5B" w:rsidRDefault="00F95199" w:rsidP="00900D5B">
      <w:pPr>
        <w:pStyle w:val="FTAlisttext"/>
        <w:numPr>
          <w:ilvl w:val="0"/>
          <w:numId w:val="3"/>
        </w:numPr>
        <w:ind w:left="1418" w:hanging="709"/>
      </w:pPr>
      <w:r>
        <w:t>produtos de construção destinados a incorpora</w:t>
      </w:r>
      <w:r w:rsidR="00E32FC2">
        <w:t>ção</w:t>
      </w:r>
      <w:r>
        <w:t xml:space="preserve"> permanente em edifícios ou obras de engenharia civil e cujo desempenho tenha um efeito no </w:t>
      </w:r>
      <w:r>
        <w:lastRenderedPageBreak/>
        <w:t>desempenho do edifício ou da obra de engenharia civil, tais como cabos, alarmes de incêndio, portas elétricas.</w:t>
      </w:r>
    </w:p>
    <w:p w14:paraId="798966ED" w14:textId="6CA65521" w:rsidR="00F95199" w:rsidRPr="0084431D" w:rsidRDefault="00F95199" w:rsidP="0084431D">
      <w:pPr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Para efeitos do presente </w:t>
      </w:r>
      <w:r w:rsidR="002C64B0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nexo, entende-se por </w:t>
      </w:r>
      <w:r w:rsidR="002C64B0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compatibilidade eletromagnética dos equipamentos</w:t>
      </w:r>
      <w:r w:rsidR="002C64B0">
        <w:rPr>
          <w:rFonts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 xml:space="preserve"> a compatibilidade eletromagnética (perturbação e imunidade) dos equipamentos que dependem de correntes elétricas ou campos eletromagnéticos para funcionar corretamente e dos equipamentos destinados à geração, transferência e medição dessas correntes, com exceção de:</w:t>
      </w:r>
    </w:p>
    <w:p w14:paraId="27627B94" w14:textId="441CB73F" w:rsidR="00F95199" w:rsidRPr="00C465C1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 xml:space="preserve">equipamento para </w:t>
      </w:r>
      <w:r w:rsidR="00E32FC2">
        <w:t xml:space="preserve">uso </w:t>
      </w:r>
      <w:r>
        <w:t>em atmosferas explosivas;</w:t>
      </w:r>
    </w:p>
    <w:p w14:paraId="0F42D2E8" w14:textId="77777777" w:rsidR="00F95199" w:rsidRPr="00C465C1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 xml:space="preserve">equipamentos para uso em radiologia ou </w:t>
      </w:r>
      <w:r w:rsidR="00E32FC2">
        <w:t xml:space="preserve">para </w:t>
      </w:r>
      <w:r>
        <w:t>fins médicos;</w:t>
      </w:r>
    </w:p>
    <w:p w14:paraId="07E046A4" w14:textId="3AEC2298" w:rsidR="00F95199" w:rsidRPr="00C465C1" w:rsidRDefault="00E32FC2" w:rsidP="00EF4726">
      <w:pPr>
        <w:pStyle w:val="FTAlisttext"/>
        <w:numPr>
          <w:ilvl w:val="0"/>
          <w:numId w:val="4"/>
        </w:numPr>
        <w:ind w:left="1418" w:hanging="709"/>
      </w:pPr>
      <w:r>
        <w:t>componentes elétricos</w:t>
      </w:r>
      <w:r w:rsidR="00F95199">
        <w:t xml:space="preserve"> para elevadores de </w:t>
      </w:r>
      <w:r>
        <w:t>carga</w:t>
      </w:r>
      <w:r w:rsidR="002C64B0">
        <w:t xml:space="preserve"> </w:t>
      </w:r>
      <w:r w:rsidR="00F95199">
        <w:t>e</w:t>
      </w:r>
      <w:r>
        <w:t xml:space="preserve"> de</w:t>
      </w:r>
      <w:r w:rsidR="00F95199">
        <w:t xml:space="preserve"> passageiros;</w:t>
      </w:r>
    </w:p>
    <w:p w14:paraId="7CB7CDF4" w14:textId="77777777" w:rsidR="00F95199" w:rsidRPr="00C465C1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>equipamentos de telecomunicações;</w:t>
      </w:r>
    </w:p>
    <w:p w14:paraId="6826616D" w14:textId="36C6475D" w:rsidR="00F95199" w:rsidRPr="00EF4726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 xml:space="preserve">equipamentos especializados para </w:t>
      </w:r>
      <w:r w:rsidR="00E32FC2">
        <w:t>os setores</w:t>
      </w:r>
      <w:r>
        <w:t xml:space="preserve"> marítimo, ferroviário, aéreo e </w:t>
      </w:r>
      <w:r w:rsidR="00E32FC2">
        <w:t>para veículos</w:t>
      </w:r>
      <w:r>
        <w:t>;</w:t>
      </w:r>
    </w:p>
    <w:p w14:paraId="458D698E" w14:textId="77777777" w:rsidR="00F95199" w:rsidRPr="00C465C1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 xml:space="preserve">instrumentos de medição; </w:t>
      </w:r>
    </w:p>
    <w:p w14:paraId="62FDDDDC" w14:textId="77777777" w:rsidR="00F95199" w:rsidRPr="00C465C1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>instrumentos de pesagem não automáticos;</w:t>
      </w:r>
    </w:p>
    <w:p w14:paraId="5372786E" w14:textId="6FAC94C5" w:rsidR="00F95199" w:rsidRPr="00C465C1" w:rsidRDefault="00F95199" w:rsidP="00EF4726">
      <w:pPr>
        <w:pStyle w:val="FTAlisttext"/>
        <w:numPr>
          <w:ilvl w:val="0"/>
          <w:numId w:val="4"/>
        </w:numPr>
        <w:ind w:left="1418" w:hanging="709"/>
      </w:pPr>
      <w:r>
        <w:t xml:space="preserve">equipamento </w:t>
      </w:r>
      <w:r w:rsidR="00E32FC2">
        <w:t>intrinsicamente</w:t>
      </w:r>
      <w:r>
        <w:t xml:space="preserve"> benigno; e</w:t>
      </w:r>
    </w:p>
    <w:p w14:paraId="5F0381FB" w14:textId="5F21C321" w:rsidR="00F95199" w:rsidRPr="00C465C1" w:rsidRDefault="00974E59" w:rsidP="00EF4726">
      <w:pPr>
        <w:pStyle w:val="FTAlisttext"/>
        <w:numPr>
          <w:ilvl w:val="0"/>
          <w:numId w:val="4"/>
        </w:numPr>
        <w:ind w:left="1418" w:hanging="709"/>
      </w:pPr>
      <w:r w:rsidRPr="000F6BB3">
        <w:t>con</w:t>
      </w:r>
      <w:r>
        <w:t>juntos</w:t>
      </w:r>
      <w:r w:rsidR="00F95199">
        <w:t xml:space="preserve"> de avaliação </w:t>
      </w:r>
      <w:r w:rsidR="00F117C3">
        <w:t>fabricados sob medida</w:t>
      </w:r>
      <w:r w:rsidR="00F95199">
        <w:t xml:space="preserve"> destinados a profissionais para </w:t>
      </w:r>
      <w:r w:rsidR="000F6BB3">
        <w:t>uso exclusivo</w:t>
      </w:r>
      <w:r w:rsidR="00F95199">
        <w:t xml:space="preserve"> em instalações de pesquisa e desenvolvimento para tais fins.</w:t>
      </w:r>
    </w:p>
    <w:p w14:paraId="05AD8063" w14:textId="3C364891" w:rsidR="00F95199" w:rsidRPr="00BC5818" w:rsidRDefault="00F95199" w:rsidP="00BC5818">
      <w:pPr>
        <w:pStyle w:val="FTAarticlenumber"/>
        <w:rPr>
          <w:rFonts w:cs="Times New Roman"/>
          <w:szCs w:val="24"/>
        </w:rPr>
      </w:pPr>
      <w:r>
        <w:t>Artigo 3</w:t>
      </w:r>
      <w:r w:rsidR="004F7C2C">
        <w:t>º</w:t>
      </w:r>
    </w:p>
    <w:p w14:paraId="160E92A8" w14:textId="56A3EC45" w:rsidR="00F95199" w:rsidRPr="006E22A0" w:rsidRDefault="00F95199" w:rsidP="006E22A0">
      <w:pPr>
        <w:autoSpaceDE w:val="0"/>
        <w:autoSpaceDN w:val="0"/>
        <w:adjustRightInd w:val="0"/>
        <w:jc w:val="center"/>
        <w:outlineLvl w:val="2"/>
        <w:rPr>
          <w:rFonts w:ascii="Times New Roman" w:eastAsia="Batang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 xml:space="preserve">Aceitação de </w:t>
      </w:r>
      <w:r w:rsidR="0049436E">
        <w:rPr>
          <w:rFonts w:ascii="Times New Roman" w:hAnsi="Times New Roman"/>
          <w:b/>
          <w:i/>
          <w:sz w:val="24"/>
        </w:rPr>
        <w:t>R</w:t>
      </w:r>
      <w:r>
        <w:rPr>
          <w:rFonts w:ascii="Times New Roman" w:hAnsi="Times New Roman"/>
          <w:b/>
          <w:i/>
          <w:sz w:val="24"/>
        </w:rPr>
        <w:t xml:space="preserve">elatórios de </w:t>
      </w:r>
      <w:r w:rsidR="00990222">
        <w:rPr>
          <w:rFonts w:ascii="Times New Roman" w:hAnsi="Times New Roman"/>
          <w:b/>
          <w:i/>
          <w:sz w:val="24"/>
        </w:rPr>
        <w:t>Ensaio</w:t>
      </w:r>
      <w:r>
        <w:rPr>
          <w:rFonts w:ascii="Times New Roman" w:hAnsi="Times New Roman"/>
          <w:b/>
          <w:i/>
          <w:sz w:val="24"/>
        </w:rPr>
        <w:t xml:space="preserve"> como </w:t>
      </w:r>
      <w:r w:rsidR="0049436E">
        <w:rPr>
          <w:rFonts w:ascii="Times New Roman" w:hAnsi="Times New Roman"/>
          <w:b/>
          <w:i/>
          <w:sz w:val="24"/>
        </w:rPr>
        <w:t>P</w:t>
      </w:r>
      <w:r>
        <w:rPr>
          <w:rFonts w:ascii="Times New Roman" w:hAnsi="Times New Roman"/>
          <w:b/>
          <w:i/>
          <w:sz w:val="24"/>
        </w:rPr>
        <w:t xml:space="preserve">arte dos </w:t>
      </w:r>
      <w:r w:rsidR="0049436E">
        <w:rPr>
          <w:rFonts w:ascii="Times New Roman" w:hAnsi="Times New Roman"/>
          <w:b/>
          <w:i/>
          <w:sz w:val="24"/>
        </w:rPr>
        <w:t>P</w:t>
      </w:r>
      <w:r>
        <w:rPr>
          <w:rFonts w:ascii="Times New Roman" w:hAnsi="Times New Roman"/>
          <w:b/>
          <w:i/>
          <w:sz w:val="24"/>
        </w:rPr>
        <w:t xml:space="preserve">rocedimentos de </w:t>
      </w:r>
      <w:r w:rsidR="0049436E">
        <w:rPr>
          <w:rFonts w:ascii="Times New Roman" w:hAnsi="Times New Roman"/>
          <w:b/>
          <w:i/>
          <w:sz w:val="24"/>
        </w:rPr>
        <w:t>A</w:t>
      </w:r>
      <w:r>
        <w:rPr>
          <w:rFonts w:ascii="Times New Roman" w:hAnsi="Times New Roman"/>
          <w:b/>
          <w:i/>
          <w:sz w:val="24"/>
        </w:rPr>
        <w:t xml:space="preserve">valiação da </w:t>
      </w:r>
      <w:r w:rsidR="0049436E">
        <w:rPr>
          <w:rFonts w:ascii="Times New Roman" w:hAnsi="Times New Roman"/>
          <w:b/>
          <w:i/>
          <w:sz w:val="24"/>
        </w:rPr>
        <w:t>C</w:t>
      </w:r>
      <w:r>
        <w:rPr>
          <w:rFonts w:ascii="Times New Roman" w:hAnsi="Times New Roman"/>
          <w:b/>
          <w:i/>
          <w:sz w:val="24"/>
        </w:rPr>
        <w:t>onformidade</w:t>
      </w:r>
    </w:p>
    <w:p w14:paraId="1C961E46" w14:textId="1BD4BC31" w:rsidR="00F95199" w:rsidRPr="00C465C1" w:rsidRDefault="00EF4726" w:rsidP="00990222">
      <w:pPr>
        <w:pStyle w:val="Recuodecorpodetexto"/>
      </w:pPr>
      <w:r>
        <w:tab/>
        <w:t xml:space="preserve">Se um Estado Parte exigir relatórios de </w:t>
      </w:r>
      <w:r w:rsidR="00990222">
        <w:t>ensaio</w:t>
      </w:r>
      <w:r>
        <w:t xml:space="preserve"> como parte de um procedimento de avaliação da conformidade</w:t>
      </w:r>
      <w:r w:rsidR="00887709">
        <w:t>,</w:t>
      </w:r>
      <w:r>
        <w:t xml:space="preserve"> </w:t>
      </w:r>
      <w:r w:rsidR="00887709">
        <w:t>incluindo certificação,</w:t>
      </w:r>
      <w:r>
        <w:t xml:space="preserve"> para </w:t>
      </w:r>
      <w:r w:rsidR="002C64B0">
        <w:t xml:space="preserve">bens </w:t>
      </w:r>
      <w:r>
        <w:t>abrangid</w:t>
      </w:r>
      <w:r w:rsidR="002C64B0">
        <w:t>o</w:t>
      </w:r>
      <w:r>
        <w:t xml:space="preserve">s pelo presente </w:t>
      </w:r>
      <w:r w:rsidR="00DB1DF1">
        <w:t>A</w:t>
      </w:r>
      <w:r>
        <w:t xml:space="preserve">nexo, esse Estado Parte aceitará relatórios de </w:t>
      </w:r>
      <w:r w:rsidR="00990222">
        <w:t>ensaio</w:t>
      </w:r>
      <w:r w:rsidR="0008041A">
        <w:t>,</w:t>
      </w:r>
      <w:r>
        <w:t xml:space="preserve"> em conformidade com as leis e regulamentos nacionais </w:t>
      </w:r>
      <w:r w:rsidR="00A17880">
        <w:t>aplicáveis</w:t>
      </w:r>
      <w:r w:rsidR="00C851EF">
        <w:t xml:space="preserve"> </w:t>
      </w:r>
      <w:r>
        <w:t>do Estado Parte importador, emitidos por pelo menos um dos seguintes organismos:</w:t>
      </w:r>
      <w:r w:rsidR="00F95199" w:rsidRPr="00C465C1">
        <w:rPr>
          <w:rStyle w:val="Refdenotaderodap"/>
          <w:rFonts w:eastAsiaTheme="majorEastAsia"/>
        </w:rPr>
        <w:footnoteReference w:id="2"/>
      </w:r>
    </w:p>
    <w:p w14:paraId="46142DD5" w14:textId="3D2508DB" w:rsidR="00F95199" w:rsidRPr="00C465C1" w:rsidRDefault="00F95199" w:rsidP="00F95199">
      <w:pPr>
        <w:pStyle w:val="Recuodecorpodetexto"/>
        <w:numPr>
          <w:ilvl w:val="0"/>
          <w:numId w:val="1"/>
        </w:numPr>
        <w:spacing w:after="180"/>
        <w:ind w:left="1418" w:hanging="709"/>
        <w:jc w:val="both"/>
      </w:pPr>
      <w:proofErr w:type="gramStart"/>
      <w:r>
        <w:t>laboratórios</w:t>
      </w:r>
      <w:proofErr w:type="gramEnd"/>
      <w:r>
        <w:t xml:space="preserve"> de </w:t>
      </w:r>
      <w:r w:rsidR="00990222">
        <w:t>ensaio</w:t>
      </w:r>
      <w:r>
        <w:t xml:space="preserve"> e organismos de certificação </w:t>
      </w:r>
      <w:r w:rsidR="00887709">
        <w:t>no âmbito</w:t>
      </w:r>
      <w:r>
        <w:t xml:space="preserve"> do Sistema </w:t>
      </w:r>
      <w:r w:rsidR="00887709">
        <w:t>de</w:t>
      </w:r>
      <w:r w:rsidR="0008041A">
        <w:t xml:space="preserve"> </w:t>
      </w:r>
      <w:r w:rsidR="00990222">
        <w:t>Ensaios</w:t>
      </w:r>
      <w:r>
        <w:t xml:space="preserve"> e Certificação </w:t>
      </w:r>
      <w:r w:rsidR="00887709">
        <w:t>para</w:t>
      </w:r>
      <w:r w:rsidR="00C851EF">
        <w:t xml:space="preserve"> Conformidade </w:t>
      </w:r>
      <w:r>
        <w:t xml:space="preserve">de Equipamentos Elétricos </w:t>
      </w:r>
      <w:r w:rsidR="00887709">
        <w:t xml:space="preserve">da Comissão Eletrotécnica Internacional </w:t>
      </w:r>
      <w:r w:rsidR="00620E8C" w:rsidRPr="00620E8C">
        <w:t>(IECEE CB Scheme</w:t>
      </w:r>
      <w:r>
        <w:t xml:space="preserve">), em conformidade com </w:t>
      </w:r>
      <w:r w:rsidR="00620E8C">
        <w:t xml:space="preserve">suas </w:t>
      </w:r>
      <w:r>
        <w:t xml:space="preserve">regras e procedimentos, acompanhados de um Certificado de </w:t>
      </w:r>
      <w:r w:rsidR="00990222">
        <w:t>Ensaio</w:t>
      </w:r>
      <w:r>
        <w:t xml:space="preserve"> CB </w:t>
      </w:r>
      <w:proofErr w:type="spellStart"/>
      <w:r w:rsidR="00620E8C" w:rsidRPr="00620E8C">
        <w:t>Scheme</w:t>
      </w:r>
      <w:proofErr w:type="spellEnd"/>
      <w:r w:rsidR="00620E8C">
        <w:t xml:space="preserve"> </w:t>
      </w:r>
      <w:r>
        <w:t>válido;</w:t>
      </w:r>
    </w:p>
    <w:p w14:paraId="0F2F2C62" w14:textId="7288B7BF" w:rsidR="00F95199" w:rsidRPr="00C465C1" w:rsidRDefault="00F95199" w:rsidP="00F95199">
      <w:pPr>
        <w:widowControl w:val="0"/>
        <w:spacing w:line="240" w:lineRule="auto"/>
        <w:ind w:left="1418" w:hanging="709"/>
        <w:jc w:val="both"/>
        <w:rPr>
          <w:rFonts w:ascii="Times New Roman" w:eastAsia="方正仿宋简体" w:hAnsi="Times New Roman" w:cs="Times New Roman"/>
          <w:kern w:val="2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 xml:space="preserve">qualquer laboratório de </w:t>
      </w:r>
      <w:r w:rsidR="00990222">
        <w:rPr>
          <w:rFonts w:ascii="Times New Roman" w:hAnsi="Times New Roman"/>
          <w:sz w:val="24"/>
        </w:rPr>
        <w:t>ensaio</w:t>
      </w:r>
      <w:r w:rsidR="0008041A">
        <w:rPr>
          <w:rFonts w:ascii="Times New Roman" w:hAnsi="Times New Roman"/>
          <w:sz w:val="24"/>
        </w:rPr>
        <w:t xml:space="preserve"> </w:t>
      </w:r>
      <w:r w:rsidR="00A90837">
        <w:rPr>
          <w:rFonts w:ascii="Times New Roman" w:hAnsi="Times New Roman"/>
          <w:sz w:val="24"/>
        </w:rPr>
        <w:t>por terceira parte</w:t>
      </w:r>
      <w:r>
        <w:rPr>
          <w:rFonts w:ascii="Times New Roman" w:hAnsi="Times New Roman"/>
          <w:sz w:val="24"/>
        </w:rPr>
        <w:t xml:space="preserve"> acreditado</w:t>
      </w:r>
      <w:r w:rsidR="00EB2D6A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de acordo com </w:t>
      </w:r>
      <w:r>
        <w:rPr>
          <w:rFonts w:ascii="Times New Roman" w:hAnsi="Times New Roman"/>
          <w:sz w:val="24"/>
        </w:rPr>
        <w:lastRenderedPageBreak/>
        <w:t>normas, guias e recomendações internacionais relevantes e reconhecidas</w:t>
      </w:r>
      <w:r w:rsidR="00EB2D6A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por um organismo de acreditação signatário do Acordo de Reconhecimento Mútuo da Cooperação Internacional de Acreditação de Laboratórios (ILAC); ou</w:t>
      </w:r>
    </w:p>
    <w:p w14:paraId="1FC66393" w14:textId="2DD0C259" w:rsidR="00F95199" w:rsidRPr="00C465C1" w:rsidRDefault="00F95199" w:rsidP="00F95199">
      <w:pPr>
        <w:widowControl w:val="0"/>
        <w:spacing w:line="240" w:lineRule="auto"/>
        <w:ind w:left="1418" w:hanging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 xml:space="preserve">laboratórios de </w:t>
      </w:r>
      <w:r w:rsidR="00990222">
        <w:rPr>
          <w:rFonts w:ascii="Times New Roman" w:hAnsi="Times New Roman"/>
          <w:sz w:val="24"/>
        </w:rPr>
        <w:t>ensaio</w:t>
      </w:r>
      <w:bookmarkStart w:id="1" w:name="_GoBack"/>
      <w:bookmarkEnd w:id="1"/>
      <w:r>
        <w:rPr>
          <w:rFonts w:ascii="Times New Roman" w:hAnsi="Times New Roman"/>
          <w:sz w:val="24"/>
        </w:rPr>
        <w:t xml:space="preserve"> que tenham um acordo voluntário com um organismo de avaliação da conformidade aceit</w:t>
      </w:r>
      <w:r w:rsidR="00EB2D6A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 xml:space="preserve"> pelo Estado Parte importador.</w:t>
      </w:r>
    </w:p>
    <w:p w14:paraId="02B38329" w14:textId="5A9A2A15" w:rsidR="00F95199" w:rsidRPr="00BC5818" w:rsidRDefault="00F95199" w:rsidP="00BC5818">
      <w:pPr>
        <w:pStyle w:val="FTAarticlenumber"/>
        <w:rPr>
          <w:rFonts w:cs="Times New Roman"/>
          <w:szCs w:val="24"/>
        </w:rPr>
      </w:pPr>
      <w:r>
        <w:t>Artigo 4</w:t>
      </w:r>
      <w:r w:rsidR="004F7C2C">
        <w:t>º</w:t>
      </w:r>
    </w:p>
    <w:p w14:paraId="216458E9" w14:textId="4FC785C3" w:rsidR="00F95199" w:rsidRPr="006E22A0" w:rsidRDefault="00F95199" w:rsidP="006E22A0">
      <w:pPr>
        <w:autoSpaceDE w:val="0"/>
        <w:autoSpaceDN w:val="0"/>
        <w:adjustRightInd w:val="0"/>
        <w:jc w:val="center"/>
        <w:outlineLvl w:val="2"/>
        <w:rPr>
          <w:rFonts w:ascii="Times New Roman" w:eastAsia="Batang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Verificações d</w:t>
      </w:r>
      <w:r w:rsidR="002C64B0">
        <w:rPr>
          <w:rFonts w:ascii="Times New Roman" w:hAnsi="Times New Roman"/>
          <w:b/>
          <w:i/>
          <w:sz w:val="24"/>
        </w:rPr>
        <w:t>e</w:t>
      </w:r>
      <w:r>
        <w:rPr>
          <w:rFonts w:ascii="Times New Roman" w:hAnsi="Times New Roman"/>
          <w:b/>
          <w:i/>
          <w:sz w:val="24"/>
        </w:rPr>
        <w:t xml:space="preserve"> Documentação</w:t>
      </w:r>
    </w:p>
    <w:p w14:paraId="05AC25BC" w14:textId="5E1B9B6A" w:rsidR="00F95199" w:rsidRPr="0084431D" w:rsidRDefault="00F95199" w:rsidP="008443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A pedido das autoridades governamentais competentes de um Estado Parte importador, a pessoa jurídica ou física responsável pela colocação do produto no mercado disponibilizar</w:t>
      </w:r>
      <w:r w:rsidR="002C64B0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 uma cópia da documentação </w:t>
      </w:r>
      <w:r w:rsidR="00EB2D6A">
        <w:rPr>
          <w:rFonts w:ascii="Times New Roman" w:hAnsi="Times New Roman"/>
          <w:sz w:val="24"/>
        </w:rPr>
        <w:t>aplicável</w:t>
      </w:r>
      <w:r>
        <w:rPr>
          <w:rFonts w:ascii="Times New Roman" w:hAnsi="Times New Roman"/>
          <w:sz w:val="24"/>
        </w:rPr>
        <w:t xml:space="preserve">. </w:t>
      </w:r>
    </w:p>
    <w:p w14:paraId="2F52BC37" w14:textId="41FEB653" w:rsidR="00F95199" w:rsidRPr="0084431D" w:rsidRDefault="00F95199" w:rsidP="008443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As verificações documentais realizadas pelas autoridades de </w:t>
      </w:r>
      <w:r w:rsidR="00EB2D6A">
        <w:rPr>
          <w:rFonts w:ascii="Times New Roman" w:hAnsi="Times New Roman"/>
          <w:sz w:val="24"/>
        </w:rPr>
        <w:t>vigilância</w:t>
      </w:r>
      <w:r>
        <w:rPr>
          <w:rFonts w:ascii="Times New Roman" w:hAnsi="Times New Roman"/>
          <w:sz w:val="24"/>
        </w:rPr>
        <w:t xml:space="preserve"> do mercado competentes após a colocação dos produtos no mercado não est</w:t>
      </w:r>
      <w:r w:rsidR="00EB2D6A">
        <w:rPr>
          <w:rFonts w:ascii="Times New Roman" w:hAnsi="Times New Roman"/>
          <w:sz w:val="24"/>
        </w:rPr>
        <w:t>arão</w:t>
      </w:r>
      <w:r>
        <w:rPr>
          <w:rFonts w:ascii="Times New Roman" w:hAnsi="Times New Roman"/>
          <w:sz w:val="24"/>
        </w:rPr>
        <w:t xml:space="preserve"> sujeitas ao pagamento de taxas.</w:t>
      </w:r>
    </w:p>
    <w:p w14:paraId="469439AA" w14:textId="4C2497BE" w:rsidR="00F95199" w:rsidRPr="00072A3B" w:rsidRDefault="00F95199" w:rsidP="00072A3B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F95199" w:rsidRPr="00072A3B" w:rsidSect="006E22A0">
      <w:footerReference w:type="default" r:id="rId12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11F5E" w14:textId="77777777" w:rsidR="00BB39DE" w:rsidRDefault="00BB39DE" w:rsidP="00F95199">
      <w:pPr>
        <w:spacing w:after="0" w:line="240" w:lineRule="auto"/>
      </w:pPr>
      <w:r>
        <w:separator/>
      </w:r>
    </w:p>
  </w:endnote>
  <w:endnote w:type="continuationSeparator" w:id="0">
    <w:p w14:paraId="6615337A" w14:textId="77777777" w:rsidR="00BB39DE" w:rsidRDefault="00BB39DE" w:rsidP="00F95199">
      <w:pPr>
        <w:spacing w:after="0" w:line="240" w:lineRule="auto"/>
      </w:pPr>
      <w:r>
        <w:continuationSeparator/>
      </w:r>
    </w:p>
  </w:endnote>
  <w:endnote w:type="continuationNotice" w:id="1">
    <w:p w14:paraId="381E4369" w14:textId="77777777" w:rsidR="00BB39DE" w:rsidRDefault="00BB39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方正仿宋简体">
    <w:altName w:val="Microsoft YaHei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BAD78" w14:textId="77777777" w:rsidR="00BB39DE" w:rsidRDefault="00BB39D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3525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ACB4C86" w14:textId="68F967AF" w:rsidR="006E22A0" w:rsidRPr="006E22A0" w:rsidRDefault="006E22A0" w:rsidP="006E22A0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22A0">
          <w:rPr>
            <w:rFonts w:ascii="Times New Roman" w:hAnsi="Times New Roman" w:cs="Times New Roman"/>
            <w:sz w:val="24"/>
          </w:rPr>
          <w:fldChar w:fldCharType="begin"/>
        </w:r>
        <w:r w:rsidRPr="006E22A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E22A0">
          <w:rPr>
            <w:rFonts w:ascii="Times New Roman" w:hAnsi="Times New Roman" w:cs="Times New Roman"/>
            <w:sz w:val="24"/>
          </w:rPr>
          <w:fldChar w:fldCharType="separate"/>
        </w:r>
        <w:r w:rsidR="00990222">
          <w:rPr>
            <w:rFonts w:ascii="Times New Roman" w:hAnsi="Times New Roman" w:cs="Times New Roman"/>
            <w:noProof/>
            <w:sz w:val="24"/>
          </w:rPr>
          <w:t>- 5 -</w:t>
        </w:r>
        <w:r w:rsidRPr="006E22A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9B4A2" w14:textId="77777777" w:rsidR="00BB39DE" w:rsidRDefault="00BB39DE" w:rsidP="00F95199">
      <w:pPr>
        <w:spacing w:after="0" w:line="240" w:lineRule="auto"/>
      </w:pPr>
      <w:r>
        <w:separator/>
      </w:r>
    </w:p>
  </w:footnote>
  <w:footnote w:type="continuationSeparator" w:id="0">
    <w:p w14:paraId="24927359" w14:textId="77777777" w:rsidR="00BB39DE" w:rsidRDefault="00BB39DE" w:rsidP="00F95199">
      <w:pPr>
        <w:spacing w:after="0" w:line="240" w:lineRule="auto"/>
      </w:pPr>
      <w:r>
        <w:continuationSeparator/>
      </w:r>
    </w:p>
  </w:footnote>
  <w:footnote w:type="continuationNotice" w:id="1">
    <w:p w14:paraId="40B0FAE5" w14:textId="77777777" w:rsidR="00BB39DE" w:rsidRDefault="00BB39DE">
      <w:pPr>
        <w:spacing w:after="0" w:line="240" w:lineRule="auto"/>
      </w:pPr>
    </w:p>
  </w:footnote>
  <w:footnote w:id="2">
    <w:p w14:paraId="140B68B1" w14:textId="53967849" w:rsidR="00F95199" w:rsidRPr="00C74F39" w:rsidRDefault="00F95199" w:rsidP="0084431D">
      <w:pPr>
        <w:pStyle w:val="Recuodecorpodetexto"/>
        <w:ind w:left="0"/>
        <w:jc w:val="both"/>
      </w:pPr>
      <w:r>
        <w:rPr>
          <w:rStyle w:val="Refdenotaderodap"/>
          <w:rFonts w:eastAsiaTheme="majorEastAsia"/>
        </w:rPr>
        <w:footnoteRef/>
      </w:r>
      <w:r>
        <w:tab/>
      </w:r>
      <w:r>
        <w:rPr>
          <w:sz w:val="20"/>
        </w:rPr>
        <w:t xml:space="preserve">Um Estado Parte pode exigir, em suas leis e regulamentos internos </w:t>
      </w:r>
      <w:r w:rsidR="00A17880">
        <w:rPr>
          <w:sz w:val="20"/>
        </w:rPr>
        <w:t>aplicáveis</w:t>
      </w:r>
      <w:r>
        <w:rPr>
          <w:sz w:val="20"/>
        </w:rPr>
        <w:t xml:space="preserve">, que exista um </w:t>
      </w:r>
      <w:r w:rsidR="00A17880">
        <w:rPr>
          <w:sz w:val="20"/>
        </w:rPr>
        <w:t xml:space="preserve">entendimento </w:t>
      </w:r>
      <w:r>
        <w:rPr>
          <w:sz w:val="20"/>
        </w:rPr>
        <w:t xml:space="preserve">mútuo entre o organismo de certificação localizado nos outros Estados Partes e um organismo de certificação reconhecido localizado no Estado Parte importador, a fim de aceitar tais relatórios de </w:t>
      </w:r>
      <w:r w:rsidR="00990222">
        <w:rPr>
          <w:sz w:val="20"/>
        </w:rPr>
        <w:t>ensaio</w:t>
      </w:r>
      <w:r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E079E" w14:textId="77777777" w:rsidR="00BB39DE" w:rsidRDefault="00BB39D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E3402"/>
    <w:multiLevelType w:val="hybridMultilevel"/>
    <w:tmpl w:val="DEAAAC42"/>
    <w:lvl w:ilvl="0" w:tplc="E0FA5720">
      <w:start w:val="1"/>
      <w:numFmt w:val="lowerLetter"/>
      <w:lvlText w:val="(%1)"/>
      <w:lvlJc w:val="left"/>
      <w:pPr>
        <w:ind w:left="1779" w:hanging="360"/>
      </w:pPr>
    </w:lvl>
    <w:lvl w:ilvl="1" w:tplc="08090019">
      <w:start w:val="1"/>
      <w:numFmt w:val="lowerLetter"/>
      <w:lvlText w:val="%2."/>
      <w:lvlJc w:val="left"/>
      <w:pPr>
        <w:ind w:left="2499" w:hanging="360"/>
      </w:pPr>
    </w:lvl>
    <w:lvl w:ilvl="2" w:tplc="0809001B">
      <w:start w:val="1"/>
      <w:numFmt w:val="lowerRoman"/>
      <w:lvlText w:val="%3."/>
      <w:lvlJc w:val="right"/>
      <w:pPr>
        <w:ind w:left="3219" w:hanging="180"/>
      </w:pPr>
    </w:lvl>
    <w:lvl w:ilvl="3" w:tplc="0809000F">
      <w:start w:val="1"/>
      <w:numFmt w:val="decimal"/>
      <w:lvlText w:val="%4."/>
      <w:lvlJc w:val="left"/>
      <w:pPr>
        <w:ind w:left="3939" w:hanging="360"/>
      </w:pPr>
    </w:lvl>
    <w:lvl w:ilvl="4" w:tplc="08090019">
      <w:start w:val="1"/>
      <w:numFmt w:val="lowerLetter"/>
      <w:lvlText w:val="%5."/>
      <w:lvlJc w:val="left"/>
      <w:pPr>
        <w:ind w:left="4659" w:hanging="360"/>
      </w:pPr>
    </w:lvl>
    <w:lvl w:ilvl="5" w:tplc="0809001B">
      <w:start w:val="1"/>
      <w:numFmt w:val="lowerRoman"/>
      <w:lvlText w:val="%6."/>
      <w:lvlJc w:val="right"/>
      <w:pPr>
        <w:ind w:left="5379" w:hanging="180"/>
      </w:pPr>
    </w:lvl>
    <w:lvl w:ilvl="6" w:tplc="0809000F">
      <w:start w:val="1"/>
      <w:numFmt w:val="decimal"/>
      <w:lvlText w:val="%7."/>
      <w:lvlJc w:val="left"/>
      <w:pPr>
        <w:ind w:left="6099" w:hanging="360"/>
      </w:pPr>
    </w:lvl>
    <w:lvl w:ilvl="7" w:tplc="08090019">
      <w:start w:val="1"/>
      <w:numFmt w:val="lowerLetter"/>
      <w:lvlText w:val="%8."/>
      <w:lvlJc w:val="left"/>
      <w:pPr>
        <w:ind w:left="6819" w:hanging="360"/>
      </w:pPr>
    </w:lvl>
    <w:lvl w:ilvl="8" w:tplc="0809001B">
      <w:start w:val="1"/>
      <w:numFmt w:val="lowerRoman"/>
      <w:lvlText w:val="%9."/>
      <w:lvlJc w:val="right"/>
      <w:pPr>
        <w:ind w:left="7539" w:hanging="180"/>
      </w:pPr>
    </w:lvl>
  </w:abstractNum>
  <w:abstractNum w:abstractNumId="1" w15:restartNumberingAfterBreak="0">
    <w:nsid w:val="178342CD"/>
    <w:multiLevelType w:val="hybridMultilevel"/>
    <w:tmpl w:val="EA66D7D4"/>
    <w:lvl w:ilvl="0" w:tplc="79F662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39DE"/>
    <w:multiLevelType w:val="hybridMultilevel"/>
    <w:tmpl w:val="855C8BFC"/>
    <w:lvl w:ilvl="0" w:tplc="E0FA5720">
      <w:start w:val="1"/>
      <w:numFmt w:val="lowerLetter"/>
      <w:lvlText w:val="(%1)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25477"/>
    <w:multiLevelType w:val="hybridMultilevel"/>
    <w:tmpl w:val="2306F148"/>
    <w:lvl w:ilvl="0" w:tplc="E0FA5720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199"/>
    <w:rsid w:val="00070E5C"/>
    <w:rsid w:val="00072A3B"/>
    <w:rsid w:val="0008041A"/>
    <w:rsid w:val="000C7EF8"/>
    <w:rsid w:val="000D013D"/>
    <w:rsid w:val="000F6BB3"/>
    <w:rsid w:val="00111858"/>
    <w:rsid w:val="00131937"/>
    <w:rsid w:val="001509BA"/>
    <w:rsid w:val="00160D26"/>
    <w:rsid w:val="001B6AEC"/>
    <w:rsid w:val="00220713"/>
    <w:rsid w:val="00253F88"/>
    <w:rsid w:val="0026159D"/>
    <w:rsid w:val="002C64B0"/>
    <w:rsid w:val="00357152"/>
    <w:rsid w:val="003F54D1"/>
    <w:rsid w:val="00432C7B"/>
    <w:rsid w:val="00455F51"/>
    <w:rsid w:val="0049436E"/>
    <w:rsid w:val="00494E75"/>
    <w:rsid w:val="00497800"/>
    <w:rsid w:val="004F7C2C"/>
    <w:rsid w:val="00527470"/>
    <w:rsid w:val="00533CAB"/>
    <w:rsid w:val="00555944"/>
    <w:rsid w:val="00564DB6"/>
    <w:rsid w:val="005B57B6"/>
    <w:rsid w:val="005E4414"/>
    <w:rsid w:val="00620E8C"/>
    <w:rsid w:val="00654F8F"/>
    <w:rsid w:val="00657993"/>
    <w:rsid w:val="00660E07"/>
    <w:rsid w:val="00680435"/>
    <w:rsid w:val="006A4050"/>
    <w:rsid w:val="006E22A0"/>
    <w:rsid w:val="007008BC"/>
    <w:rsid w:val="007A57C3"/>
    <w:rsid w:val="00802643"/>
    <w:rsid w:val="008332CF"/>
    <w:rsid w:val="0084431D"/>
    <w:rsid w:val="00844C35"/>
    <w:rsid w:val="00887709"/>
    <w:rsid w:val="008E1817"/>
    <w:rsid w:val="00900D5B"/>
    <w:rsid w:val="0094216A"/>
    <w:rsid w:val="00947B8B"/>
    <w:rsid w:val="00974E59"/>
    <w:rsid w:val="00990222"/>
    <w:rsid w:val="00A144CD"/>
    <w:rsid w:val="00A17880"/>
    <w:rsid w:val="00A323A1"/>
    <w:rsid w:val="00A564F0"/>
    <w:rsid w:val="00A758FC"/>
    <w:rsid w:val="00A90837"/>
    <w:rsid w:val="00AB1210"/>
    <w:rsid w:val="00AF5DC9"/>
    <w:rsid w:val="00B07828"/>
    <w:rsid w:val="00B43049"/>
    <w:rsid w:val="00B50065"/>
    <w:rsid w:val="00B55889"/>
    <w:rsid w:val="00BB24AB"/>
    <w:rsid w:val="00BB39DE"/>
    <w:rsid w:val="00BB52FE"/>
    <w:rsid w:val="00BC5818"/>
    <w:rsid w:val="00BC71BC"/>
    <w:rsid w:val="00BC7902"/>
    <w:rsid w:val="00BF7582"/>
    <w:rsid w:val="00C154AF"/>
    <w:rsid w:val="00C64FF2"/>
    <w:rsid w:val="00C851EF"/>
    <w:rsid w:val="00D64899"/>
    <w:rsid w:val="00DB1DF1"/>
    <w:rsid w:val="00DE53D2"/>
    <w:rsid w:val="00E139E5"/>
    <w:rsid w:val="00E32FC2"/>
    <w:rsid w:val="00E720BE"/>
    <w:rsid w:val="00E73970"/>
    <w:rsid w:val="00E867D6"/>
    <w:rsid w:val="00EA0BC5"/>
    <w:rsid w:val="00EA305C"/>
    <w:rsid w:val="00EB2D6A"/>
    <w:rsid w:val="00EF4726"/>
    <w:rsid w:val="00F117C3"/>
    <w:rsid w:val="00F84AF5"/>
    <w:rsid w:val="00F95199"/>
    <w:rsid w:val="00FD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3A69"/>
  <w15:chartTrackingRefBased/>
  <w15:docId w15:val="{397B258B-89EF-470E-BD61-867D6E1C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199"/>
    <w:rPr>
      <w:kern w:val="0"/>
      <w14:ligatures w14:val="none"/>
    </w:rPr>
  </w:style>
  <w:style w:type="paragraph" w:styleId="Ttulo1">
    <w:name w:val="heading 1"/>
    <w:aliases w:val="Chapter heading"/>
    <w:basedOn w:val="Normal"/>
    <w:next w:val="Normal"/>
    <w:link w:val="Ttulo1Char"/>
    <w:qFormat/>
    <w:rsid w:val="00F95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5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95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95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95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95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5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95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95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Chapter heading Char"/>
    <w:basedOn w:val="Fontepargpadro"/>
    <w:link w:val="Ttulo1"/>
    <w:rsid w:val="00F951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51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951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951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9519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951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9519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951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951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95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95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95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95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95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95199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F9519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9519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95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9519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95199"/>
    <w:rPr>
      <w:b/>
      <w:bCs/>
      <w:smallCaps/>
      <w:color w:val="0F4761" w:themeColor="accent1" w:themeShade="BF"/>
      <w:spacing w:val="5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F95199"/>
    <w:rPr>
      <w:vertAlign w:val="superscript"/>
    </w:rPr>
  </w:style>
  <w:style w:type="paragraph" w:customStyle="1" w:styleId="titlearticle">
    <w:name w:val="title article"/>
    <w:rsid w:val="00F95199"/>
    <w:pPr>
      <w:keepNext/>
      <w:spacing w:after="0" w:line="312" w:lineRule="exact"/>
      <w:jc w:val="center"/>
    </w:pPr>
    <w:rPr>
      <w:rFonts w:ascii="Bookman" w:eastAsia="Times New Roman" w:hAnsi="Bookman" w:cs="Times New Roman"/>
      <w:smallCaps/>
      <w:kern w:val="0"/>
      <w:sz w:val="24"/>
      <w:szCs w:val="20"/>
      <w14:ligatures w14:val="none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F95199"/>
  </w:style>
  <w:style w:type="paragraph" w:styleId="Recuodecorpodetexto">
    <w:name w:val="Body Text Indent"/>
    <w:basedOn w:val="Normal"/>
    <w:link w:val="RecuodecorpodetextoChar"/>
    <w:uiPriority w:val="99"/>
    <w:rsid w:val="00F951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95199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Cabealho">
    <w:name w:val="header"/>
    <w:aliases w:val="Header1,En-tête1"/>
    <w:basedOn w:val="Normal"/>
    <w:link w:val="CabealhoChar"/>
    <w:unhideWhenUsed/>
    <w:rsid w:val="00F95199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F95199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BC71BC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BC71BC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26159D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26159D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</w:rPr>
  </w:style>
  <w:style w:type="paragraph" w:customStyle="1" w:styleId="FTAchaptertitle">
    <w:name w:val="FTA chapter title"/>
    <w:basedOn w:val="Ttulo1"/>
    <w:link w:val="FTAchaptertitleChar"/>
    <w:qFormat/>
    <w:rsid w:val="00EA0BC5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EA0BC5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BC5818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sz w:val="24"/>
      <w:szCs w:val="26"/>
      <w:lang w:eastAsia="es-ES"/>
    </w:rPr>
  </w:style>
  <w:style w:type="character" w:customStyle="1" w:styleId="FTAarticlenumberChar">
    <w:name w:val="FTA article number Char"/>
    <w:basedOn w:val="Fontepargpadro"/>
    <w:link w:val="FTAarticlenumber"/>
    <w:rsid w:val="00BC5818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E22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E22A0"/>
    <w:rPr>
      <w:kern w:val="0"/>
      <w:lang w:val="pt-BR"/>
      <w14:ligatures w14:val="none"/>
    </w:rPr>
  </w:style>
  <w:style w:type="paragraph" w:customStyle="1" w:styleId="FTAlisttext">
    <w:name w:val="FTA list text"/>
    <w:basedOn w:val="Normal"/>
    <w:qFormat/>
    <w:rsid w:val="00900D5B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Reviso">
    <w:name w:val="Revision"/>
    <w:hidden/>
    <w:uiPriority w:val="99"/>
    <w:semiHidden/>
    <w:rsid w:val="00C64FF2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27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470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876F6-43F8-4FB6-BBEE-AE76FC7CAE43}">
  <ds:schemaRefs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236eead-057f-4456-b045-1e6d9ca08c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D57248-0E9B-402B-A1E5-30454BA9B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80B81-2B4D-4388-8799-7096AEEB1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669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4</cp:revision>
  <dcterms:created xsi:type="dcterms:W3CDTF">2026-01-26T13:16:00Z</dcterms:created>
  <dcterms:modified xsi:type="dcterms:W3CDTF">2026-04-16T19:57:00Z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